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Client onboarding checklist</w:t>
      </w:r>
    </w:p>
    <w:p>
      <w:r>
        <w:t>A practical first-30-days checklist. Adapt the owners, dates and steps to your agreement, then confirm details with the client.</w:t>
      </w:r>
    </w:p>
    <w:p>
      <w:pPr>
        <w:pStyle w:val="Heading1"/>
      </w:pPr>
      <w:r>
        <w:t>Client and engagement</w:t>
      </w:r>
    </w:p>
    <w:p>
      <w:pPr>
        <w:pStyle w:val="ListBullet"/>
      </w:pPr>
      <w:r>
        <w:t>Client and engagement: Cedar Street Studio ? monthly bookkeeping ? April 1</w:t>
      </w:r>
    </w:p>
    <w:p>
      <w:pPr>
        <w:pStyle w:val="ListBullet"/>
      </w:pPr>
      <w:r>
        <w:t>Main contact: Maya Chen, owner, email</w:t>
      </w:r>
    </w:p>
    <w:p>
      <w:pPr>
        <w:pStyle w:val="ListBullet"/>
      </w:pPr>
      <w:r>
        <w:t>Desired outcome: Close books by the 10th; review at month end</w:t>
      </w:r>
    </w:p>
    <w:p>
      <w:pPr>
        <w:pStyle w:val="ListBullet"/>
      </w:pPr>
      <w:r>
        <w:t>Scope and boundaries: Reconcile accounts; tax filing is out of scope</w:t>
      </w:r>
    </w:p>
    <w:p>
      <w:pPr>
        <w:pStyle w:val="ListBullet"/>
      </w:pPr>
      <w:r>
        <w:t>Communication plan: Email; weekly update each Friday</w:t>
      </w:r>
    </w:p>
    <w:p>
      <w:pPr>
        <w:pStyle w:val="Heading1"/>
      </w:pPr>
      <w:r>
        <w:t>First 30 days</w:t>
      </w:r>
    </w:p>
    <w:tbl>
      <w:tblPr>
        <w:tblStyle w:val="LightShading-Accent1"/>
        <w:tblW w:type="auto" w:w="0"/>
        <w:tblLook w:firstColumn="1" w:firstRow="1" w:lastColumn="0" w:lastRow="0" w:noHBand="0" w:noVBand="1" w:val="04A0"/>
      </w:tblPr>
      <w:tblGrid>
        <w:gridCol w:w="2160"/>
        <w:gridCol w:w="2160"/>
        <w:gridCol w:w="2160"/>
        <w:gridCol w:w="2160"/>
      </w:tblGrid>
      <w:tr>
        <w:tc>
          <w:tcPr>
            <w:tcW w:type="dxa" w:w="2160"/>
          </w:tcPr>
          <w:p>
            <w:r>
              <w:t>Task</w:t>
            </w:r>
          </w:p>
        </w:tc>
        <w:tc>
          <w:tcPr>
            <w:tcW w:type="dxa" w:w="2160"/>
          </w:tcPr>
          <w:p>
            <w:r>
              <w:t>Owner</w:t>
            </w:r>
          </w:p>
        </w:tc>
        <w:tc>
          <w:tcPr>
            <w:tcW w:type="dxa" w:w="2160"/>
          </w:tcPr>
          <w:p>
            <w:r>
              <w:t>Due date</w:t>
            </w:r>
          </w:p>
        </w:tc>
        <w:tc>
          <w:tcPr>
            <w:tcW w:type="dxa" w:w="2160"/>
          </w:tcPr>
          <w:p>
            <w:r>
              <w:t>Status</w:t>
            </w:r>
          </w:p>
        </w:tc>
      </w:tr>
      <w:tr>
        <w:tc>
          <w:tcPr>
            <w:tcW w:type="dxa" w:w="2160"/>
          </w:tcPr>
          <w:p>
            <w:r>
              <w:t>Send welcome email and kickoff agenda</w:t>
            </w:r>
          </w:p>
        </w:tc>
        <w:tc>
          <w:tcPr>
            <w:tcW w:type="dxa" w:w="2160"/>
          </w:tcPr>
          <w:p>
            <w:r>
              <w:t>Alex</w:t>
            </w:r>
          </w:p>
        </w:tc>
        <w:tc>
          <w:tcPr>
            <w:tcW w:type="dxa" w:w="2160"/>
          </w:tcPr>
          <w:p>
            <w:r>
              <w:t>April 1</w:t>
            </w:r>
          </w:p>
        </w:tc>
        <w:tc>
          <w:tcPr>
            <w:tcW w:type="dxa" w:w="2160"/>
          </w:tcPr>
          <w:p>
            <w:r>
              <w:t>Done</w:t>
            </w:r>
          </w:p>
        </w:tc>
      </w:tr>
      <w:tr>
        <w:tc>
          <w:tcPr>
            <w:tcW w:type="dxa" w:w="2160"/>
          </w:tcPr>
          <w:p>
            <w:r>
              <w:t>Share prior month bank statements</w:t>
            </w:r>
          </w:p>
        </w:tc>
        <w:tc>
          <w:tcPr>
            <w:tcW w:type="dxa" w:w="2160"/>
          </w:tcPr>
          <w:p>
            <w:r>
              <w:t>Maya</w:t>
            </w:r>
          </w:p>
        </w:tc>
        <w:tc>
          <w:tcPr>
            <w:tcW w:type="dxa" w:w="2160"/>
          </w:tcPr>
          <w:p>
            <w:r>
              <w:t>April 5</w:t>
            </w:r>
          </w:p>
        </w:tc>
        <w:tc>
          <w:tcPr>
            <w:tcW w:type="dxa" w:w="2160"/>
          </w:tcPr>
          <w:p>
            <w:r>
              <w:t>Open</w:t>
            </w:r>
          </w:p>
        </w:tc>
      </w:tr>
      <w:tr>
        <w:tc>
          <w:tcPr>
            <w:tcW w:type="dxa" w:w="2160"/>
          </w:tcPr>
          <w:p>
            <w:r>
              <w:t>Confirm adjustment approver</w:t>
            </w:r>
          </w:p>
        </w:tc>
        <w:tc>
          <w:tcPr>
            <w:tcW w:type="dxa" w:w="2160"/>
          </w:tcPr>
          <w:p>
            <w:r>
              <w:t>Maya</w:t>
            </w:r>
          </w:p>
        </w:tc>
        <w:tc>
          <w:tcPr>
            <w:tcW w:type="dxa" w:w="2160"/>
          </w:tcPr>
          <w:p>
            <w:r>
              <w:t>April 3</w:t>
            </w:r>
          </w:p>
        </w:tc>
        <w:tc>
          <w:tcPr>
            <w:tcW w:type="dxa" w:w="2160"/>
          </w:tcPr>
          <w:p>
            <w:r>
              <w:t>Open</w:t>
            </w:r>
          </w:p>
        </w:tc>
      </w:tr>
      <w:tr>
        <w:tc>
          <w:tcPr>
            <w:tcW w:type="dxa" w:w="2160"/>
          </w:tcPr>
          <w:p>
            <w:r>
              <w:t>Complete first reconciliation</w:t>
            </w:r>
          </w:p>
        </w:tc>
        <w:tc>
          <w:tcPr>
            <w:tcW w:type="dxa" w:w="2160"/>
          </w:tcPr>
          <w:p>
            <w:r>
              <w:t>Alex</w:t>
            </w:r>
          </w:p>
        </w:tc>
        <w:tc>
          <w:tcPr>
            <w:tcW w:type="dxa" w:w="2160"/>
          </w:tcPr>
          <w:p>
            <w:r>
              <w:t>April 12</w:t>
            </w:r>
          </w:p>
        </w:tc>
        <w:tc>
          <w:tcPr>
            <w:tcW w:type="dxa" w:w="2160"/>
          </w:tcPr>
          <w:p>
            <w:r>
              <w:t>Planned</w:t>
            </w:r>
          </w:p>
        </w:tc>
      </w:tr>
      <w:tr>
        <w:tc>
          <w:tcPr>
            <w:tcW w:type="dxa" w:w="2160"/>
          </w:tcPr>
          <w:p>
            <w:r>
              <w:t>Review first month and next close</w:t>
            </w:r>
          </w:p>
        </w:tc>
        <w:tc>
          <w:tcPr>
            <w:tcW w:type="dxa" w:w="2160"/>
          </w:tcPr>
          <w:p>
            <w:r>
              <w:t>Maya and Alex</w:t>
            </w:r>
          </w:p>
        </w:tc>
        <w:tc>
          <w:tcPr>
            <w:tcW w:type="dxa" w:w="2160"/>
          </w:tcPr>
          <w:p>
            <w:r>
              <w:t>April 30</w:t>
            </w:r>
          </w:p>
        </w:tc>
        <w:tc>
          <w:tcPr>
            <w:tcW w:type="dxa" w:w="2160"/>
          </w:tcPr>
          <w:p>
            <w:r>
              <w:t>Planned</w:t>
            </w:r>
          </w:p>
        </w:tc>
      </w:tr>
    </w:tbl>
    <w:p>
      <w:pPr>
        <w:pStyle w:val="Heading1"/>
      </w:pPr>
      <w:r>
        <w:t>Kickoff agenda</w:t>
      </w:r>
    </w:p>
    <w:p>
      <w:r>
        <w:t>Confirm goals and scope; identify contacts and approvers; review access and client inputs; agree on communication cadence; list open questions; assign actions with owners and dates.</w:t>
      </w:r>
    </w:p>
    <w:p>
      <w:pPr>
        <w:pStyle w:val="Heading1"/>
      </w:pPr>
      <w:r>
        <w:t>Welcome email starter</w:t>
      </w:r>
    </w:p>
    <w:p>
      <w:r>
        <w:t>Hi Maya, welcome to Cedar Street Bookkeeping. We?re glad to get started on April 1. Please add the prior month bank statements to our agreed folder by April 5. Could we meet for a 30-minute kickoff on April 2 to confirm the monthly close and approval steps? I?ll send a recap with owners and dates afterward.</w:t>
      </w:r>
    </w:p>
    <w:p>
      <w:pPr>
        <w:pStyle w:val="Heading1"/>
      </w:pPr>
      <w:r>
        <w:t>Kickoff recap and follow-up schedule</w:t>
      </w:r>
    </w:p>
    <w:p>
      <w:r>
        <w:t>After the meeting, thank attendees, restate decisions, and list each action with its owner and due date. Check access on April 9, complete the first reconciliation by April 12, and review the first month on April 30. Confirm names, dates and commitments before sending any client message.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